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D99C" w14:textId="77777777" w:rsidR="00F45EFF" w:rsidRPr="00A25C75" w:rsidRDefault="00F45EFF" w:rsidP="00F81996">
      <w:pPr>
        <w:spacing w:after="0" w:line="240" w:lineRule="auto"/>
        <w:contextualSpacing/>
        <w:jc w:val="center"/>
        <w:outlineLvl w:val="0"/>
        <w:rPr>
          <w:rFonts w:ascii="Times New Roman" w:eastAsia="Calibri" w:hAnsi="Times New Roman" w:cs="Times New Roman"/>
          <w:b/>
          <w:color w:val="000000"/>
          <w:sz w:val="24"/>
          <w:szCs w:val="24"/>
        </w:rPr>
      </w:pPr>
      <w:r w:rsidRPr="00A25C75">
        <w:rPr>
          <w:rFonts w:ascii="Times New Roman" w:eastAsia="Calibri" w:hAnsi="Times New Roman" w:cs="Times New Roman"/>
          <w:b/>
          <w:color w:val="000000"/>
          <w:sz w:val="24"/>
          <w:szCs w:val="24"/>
        </w:rPr>
        <w:t>Undue Hardship Instructional Guide</w:t>
      </w:r>
    </w:p>
    <w:p w14:paraId="24042F6F" w14:textId="77777777" w:rsidR="00F45EFF" w:rsidRPr="00A25C75" w:rsidRDefault="00F45EFF" w:rsidP="00AC34E1">
      <w:pPr>
        <w:spacing w:after="0" w:line="240" w:lineRule="auto"/>
        <w:contextualSpacing/>
        <w:jc w:val="both"/>
        <w:outlineLvl w:val="0"/>
        <w:rPr>
          <w:rFonts w:ascii="Times New Roman" w:eastAsia="Calibri" w:hAnsi="Times New Roman" w:cs="Times New Roman"/>
          <w:b/>
          <w:color w:val="000000"/>
          <w:sz w:val="24"/>
          <w:szCs w:val="24"/>
        </w:rPr>
      </w:pPr>
    </w:p>
    <w:p w14:paraId="4F9C6F3E" w14:textId="77777777" w:rsidR="00F45EFF" w:rsidRPr="00A25C75" w:rsidRDefault="00F45EFF" w:rsidP="00AC34E1">
      <w:pPr>
        <w:spacing w:after="0" w:line="240" w:lineRule="auto"/>
        <w:contextualSpacing/>
        <w:jc w:val="both"/>
        <w:outlineLvl w:val="0"/>
        <w:rPr>
          <w:rFonts w:ascii="Times New Roman" w:eastAsia="Calibri" w:hAnsi="Times New Roman" w:cs="Times New Roman"/>
          <w:color w:val="000000"/>
          <w:sz w:val="24"/>
          <w:szCs w:val="24"/>
        </w:rPr>
      </w:pPr>
      <w:r w:rsidRPr="00A25C75">
        <w:rPr>
          <w:rFonts w:ascii="Times New Roman" w:eastAsia="Calibri" w:hAnsi="Times New Roman" w:cs="Times New Roman"/>
          <w:b/>
          <w:color w:val="000000"/>
          <w:sz w:val="24"/>
          <w:szCs w:val="24"/>
        </w:rPr>
        <w:t>Purpose</w:t>
      </w:r>
      <w:r w:rsidRPr="00A25C75">
        <w:rPr>
          <w:rFonts w:ascii="Times New Roman" w:eastAsia="Calibri" w:hAnsi="Times New Roman" w:cs="Times New Roman"/>
          <w:color w:val="000000"/>
          <w:sz w:val="24"/>
          <w:szCs w:val="24"/>
        </w:rPr>
        <w:t>:</w:t>
      </w:r>
    </w:p>
    <w:p w14:paraId="3F648706" w14:textId="77777777" w:rsidR="00AC34E1" w:rsidRPr="00F81996" w:rsidRDefault="00A5369F" w:rsidP="00F81996">
      <w:pPr>
        <w:spacing w:after="0" w:line="240" w:lineRule="auto"/>
        <w:contextualSpacing/>
        <w:outlineLvl w:val="0"/>
        <w:rPr>
          <w:rFonts w:ascii="Times New Roman" w:eastAsia="Calibri" w:hAnsi="Times New Roman" w:cs="Times New Roman"/>
          <w:color w:val="000000"/>
          <w:sz w:val="24"/>
          <w:szCs w:val="24"/>
        </w:rPr>
      </w:pPr>
      <w:r w:rsidRPr="00A25C75">
        <w:rPr>
          <w:rFonts w:ascii="Times New Roman" w:eastAsia="Calibri" w:hAnsi="Times New Roman" w:cs="Times New Roman"/>
          <w:color w:val="000000"/>
          <w:sz w:val="24"/>
          <w:szCs w:val="24"/>
        </w:rPr>
        <w:t xml:space="preserve">The purpose of this </w:t>
      </w:r>
      <w:r w:rsidR="00E474AD" w:rsidRPr="00A25C75">
        <w:rPr>
          <w:rFonts w:ascii="Times New Roman" w:eastAsia="Calibri" w:hAnsi="Times New Roman" w:cs="Times New Roman"/>
          <w:color w:val="000000"/>
          <w:sz w:val="24"/>
          <w:szCs w:val="24"/>
        </w:rPr>
        <w:t xml:space="preserve">guide </w:t>
      </w:r>
      <w:r w:rsidRPr="00A25C75">
        <w:rPr>
          <w:rFonts w:ascii="Times New Roman" w:eastAsia="Calibri" w:hAnsi="Times New Roman" w:cs="Times New Roman"/>
          <w:color w:val="000000"/>
          <w:sz w:val="24"/>
          <w:szCs w:val="24"/>
        </w:rPr>
        <w:t xml:space="preserve">is to define what constitutes </w:t>
      </w:r>
      <w:r w:rsidR="00A25C75">
        <w:rPr>
          <w:rFonts w:ascii="Times New Roman" w:eastAsia="Calibri" w:hAnsi="Times New Roman" w:cs="Times New Roman"/>
          <w:color w:val="000000"/>
          <w:sz w:val="24"/>
          <w:szCs w:val="24"/>
        </w:rPr>
        <w:t xml:space="preserve">an </w:t>
      </w:r>
      <w:r w:rsidRPr="00A25C75">
        <w:rPr>
          <w:rFonts w:ascii="Times New Roman" w:eastAsia="Calibri" w:hAnsi="Times New Roman" w:cs="Times New Roman"/>
          <w:color w:val="000000"/>
          <w:sz w:val="24"/>
          <w:szCs w:val="24"/>
        </w:rPr>
        <w:t xml:space="preserve">“undue hardship” </w:t>
      </w:r>
      <w:r w:rsidR="00A25C75">
        <w:rPr>
          <w:rFonts w:ascii="Times New Roman" w:eastAsia="Calibri" w:hAnsi="Times New Roman" w:cs="Times New Roman"/>
          <w:color w:val="000000"/>
          <w:sz w:val="24"/>
          <w:szCs w:val="24"/>
        </w:rPr>
        <w:t xml:space="preserve">for determining the application of a transfer of assets penalty period under Medicaid.  </w:t>
      </w:r>
      <w:r w:rsidRPr="00F81996">
        <w:rPr>
          <w:rFonts w:ascii="Times New Roman" w:eastAsia="Calibri" w:hAnsi="Times New Roman" w:cs="Times New Roman"/>
          <w:color w:val="000000"/>
          <w:sz w:val="24"/>
          <w:szCs w:val="24"/>
        </w:rPr>
        <w:t xml:space="preserve">This </w:t>
      </w:r>
      <w:r w:rsidR="00A25C75" w:rsidRPr="00F81996">
        <w:rPr>
          <w:rFonts w:ascii="Times New Roman" w:eastAsia="Calibri" w:hAnsi="Times New Roman" w:cs="Times New Roman"/>
          <w:color w:val="000000"/>
          <w:sz w:val="24"/>
          <w:szCs w:val="24"/>
        </w:rPr>
        <w:t xml:space="preserve">guide </w:t>
      </w:r>
      <w:r w:rsidRPr="00F81996">
        <w:rPr>
          <w:rFonts w:ascii="Times New Roman" w:eastAsia="Calibri" w:hAnsi="Times New Roman" w:cs="Times New Roman"/>
          <w:color w:val="000000"/>
          <w:sz w:val="24"/>
          <w:szCs w:val="24"/>
        </w:rPr>
        <w:t>also outlines the procedures that must be followed by the applicant/beneficiary to file an undue hardship claim</w:t>
      </w:r>
      <w:r w:rsidR="00F45EFF" w:rsidRPr="00F81996">
        <w:rPr>
          <w:rFonts w:ascii="Times New Roman" w:eastAsia="Calibri" w:hAnsi="Times New Roman" w:cs="Times New Roman"/>
          <w:color w:val="000000"/>
          <w:sz w:val="24"/>
          <w:szCs w:val="24"/>
        </w:rPr>
        <w:t>.</w:t>
      </w:r>
    </w:p>
    <w:p w14:paraId="0E9CC16E" w14:textId="77777777" w:rsidR="00F45EFF" w:rsidRPr="00F81996" w:rsidRDefault="00F45EFF" w:rsidP="00AC34E1">
      <w:pPr>
        <w:spacing w:after="0" w:line="240" w:lineRule="auto"/>
        <w:contextualSpacing/>
        <w:jc w:val="both"/>
        <w:outlineLvl w:val="0"/>
        <w:rPr>
          <w:rFonts w:ascii="Times New Roman" w:eastAsia="Calibri" w:hAnsi="Times New Roman" w:cs="Times New Roman"/>
          <w:color w:val="000000"/>
          <w:sz w:val="24"/>
          <w:szCs w:val="24"/>
        </w:rPr>
      </w:pPr>
    </w:p>
    <w:p w14:paraId="2EB5610B" w14:textId="77777777" w:rsidR="00F45EFF" w:rsidRPr="00A25C75" w:rsidRDefault="00F45EFF" w:rsidP="00AC34E1">
      <w:pPr>
        <w:spacing w:after="0" w:line="240" w:lineRule="auto"/>
        <w:contextualSpacing/>
        <w:jc w:val="both"/>
        <w:outlineLvl w:val="0"/>
        <w:rPr>
          <w:rFonts w:ascii="Times New Roman" w:eastAsia="Calibri" w:hAnsi="Times New Roman" w:cs="Times New Roman"/>
          <w:b/>
          <w:color w:val="000000"/>
          <w:sz w:val="24"/>
          <w:szCs w:val="24"/>
        </w:rPr>
      </w:pPr>
      <w:r w:rsidRPr="00F81996">
        <w:rPr>
          <w:rFonts w:ascii="Times New Roman" w:eastAsia="Calibri" w:hAnsi="Times New Roman" w:cs="Times New Roman"/>
          <w:b/>
          <w:color w:val="000000"/>
          <w:sz w:val="24"/>
          <w:szCs w:val="24"/>
        </w:rPr>
        <w:t>Undue Hardship Criteria:</w:t>
      </w:r>
    </w:p>
    <w:p w14:paraId="7F58B2CB" w14:textId="77777777" w:rsidR="00A25C75" w:rsidRDefault="00A25C75" w:rsidP="00F81996">
      <w:pPr>
        <w:pStyle w:val="BodyText"/>
        <w:spacing w:before="91"/>
        <w:ind w:right="165"/>
        <w:rPr>
          <w:rFonts w:eastAsia="Calibri"/>
          <w:color w:val="000000"/>
          <w:sz w:val="24"/>
          <w:szCs w:val="24"/>
        </w:rPr>
      </w:pPr>
      <w:r w:rsidRPr="00107A60">
        <w:rPr>
          <w:rFonts w:eastAsia="Calibri"/>
          <w:color w:val="000000"/>
          <w:sz w:val="24"/>
          <w:szCs w:val="24"/>
        </w:rPr>
        <w:t>Under 42 USC 1396p</w:t>
      </w:r>
      <w:r w:rsidR="00E57537" w:rsidRPr="00107A60">
        <w:rPr>
          <w:rFonts w:eastAsia="Calibri"/>
          <w:color w:val="000000"/>
          <w:sz w:val="24"/>
          <w:szCs w:val="24"/>
        </w:rPr>
        <w:t>(c)(2)(D)</w:t>
      </w:r>
      <w:r w:rsidRPr="00107A60">
        <w:rPr>
          <w:rFonts w:eastAsia="Calibri"/>
          <w:color w:val="000000"/>
          <w:sz w:val="24"/>
          <w:szCs w:val="24"/>
        </w:rPr>
        <w:t>,</w:t>
      </w:r>
      <w:r>
        <w:rPr>
          <w:rFonts w:eastAsia="Calibri"/>
          <w:color w:val="000000"/>
          <w:sz w:val="24"/>
          <w:szCs w:val="24"/>
        </w:rPr>
        <w:t xml:space="preserve"> an individual applying for or receiving </w:t>
      </w:r>
      <w:r w:rsidRPr="00A25C75">
        <w:rPr>
          <w:rFonts w:eastAsia="Calibri"/>
          <w:color w:val="000000"/>
          <w:sz w:val="24"/>
          <w:szCs w:val="24"/>
        </w:rPr>
        <w:t xml:space="preserve">Medicaid long-term care services </w:t>
      </w:r>
      <w:r>
        <w:rPr>
          <w:rFonts w:eastAsia="Calibri"/>
          <w:color w:val="000000"/>
          <w:sz w:val="24"/>
          <w:szCs w:val="24"/>
        </w:rPr>
        <w:t xml:space="preserve">will be subject to a transfer of assets penalty in cases where the applicant/beneficiary made an impermissible transfer or a permissible transfer that is subject to the penalty.  During this penalty period, which starts on the first day of the month in which the transfer was made, the applicant/beneficiary will be ineligible for Medicaid long term care services but may receive other Medicaid services if eligible.  </w:t>
      </w:r>
    </w:p>
    <w:p w14:paraId="08D000BF" w14:textId="77777777" w:rsidR="00A25C75" w:rsidRPr="00F81996" w:rsidRDefault="00A25C75" w:rsidP="00F81996">
      <w:pPr>
        <w:pStyle w:val="BodyText"/>
        <w:spacing w:before="91"/>
        <w:ind w:right="165"/>
        <w:rPr>
          <w:rFonts w:eastAsia="Calibri"/>
          <w:color w:val="000000"/>
          <w:sz w:val="24"/>
          <w:szCs w:val="24"/>
        </w:rPr>
      </w:pPr>
      <w:r>
        <w:rPr>
          <w:rFonts w:eastAsia="Calibri"/>
          <w:color w:val="000000"/>
          <w:sz w:val="24"/>
          <w:szCs w:val="24"/>
        </w:rPr>
        <w:t xml:space="preserve">An individual may be determined exempt from the application of the transfer of assets penalty in cases where the individual can show that an “undue hardship” </w:t>
      </w:r>
      <w:r w:rsidR="00F81996">
        <w:rPr>
          <w:rFonts w:eastAsia="Calibri"/>
          <w:color w:val="000000"/>
          <w:sz w:val="24"/>
          <w:szCs w:val="24"/>
        </w:rPr>
        <w:t>exists.</w:t>
      </w:r>
      <w:r w:rsidR="00F81996">
        <w:t xml:space="preserve"> An</w:t>
      </w:r>
      <w:r>
        <w:t xml:space="preserve"> undue hardship exists if the applicant/beneficiary can show that denying Medicaid long term care services, either institutional or home and community based services (HCBS) including through the Elderly and Persons with Disabilities (EPD) waiver or the Individuals with Developmental Disabilities w</w:t>
      </w:r>
      <w:r w:rsidR="000B5303">
        <w:t>aiver (IDD), would threaten the applicant’s/beneficiary’s</w:t>
      </w:r>
      <w:r>
        <w:t xml:space="preserve"> life or health or would deprive </w:t>
      </w:r>
      <w:r w:rsidR="000B5303">
        <w:t>him/her</w:t>
      </w:r>
      <w:r>
        <w:t xml:space="preserve"> of food, clothing, shelter or other necessities of life.</w:t>
      </w:r>
    </w:p>
    <w:p w14:paraId="2EB9618D" w14:textId="77777777" w:rsidR="00A25C75" w:rsidRDefault="00A25C75" w:rsidP="00A25C75">
      <w:pPr>
        <w:spacing w:after="0" w:line="240" w:lineRule="auto"/>
        <w:contextualSpacing/>
        <w:jc w:val="both"/>
        <w:outlineLvl w:val="0"/>
        <w:rPr>
          <w:rFonts w:ascii="Times New Roman" w:hAnsi="Times New Roman" w:cs="Times New Roman"/>
          <w:sz w:val="24"/>
          <w:szCs w:val="24"/>
        </w:rPr>
      </w:pPr>
    </w:p>
    <w:p w14:paraId="18E0209D" w14:textId="77777777" w:rsidR="00F45EFF" w:rsidRPr="00A25C75" w:rsidRDefault="00F45EFF" w:rsidP="00A25C75">
      <w:pPr>
        <w:spacing w:after="0" w:line="240" w:lineRule="auto"/>
        <w:contextualSpacing/>
        <w:jc w:val="both"/>
        <w:outlineLvl w:val="0"/>
        <w:rPr>
          <w:rFonts w:ascii="Times New Roman" w:hAnsi="Times New Roman" w:cs="Times New Roman"/>
          <w:b/>
          <w:sz w:val="24"/>
          <w:szCs w:val="24"/>
        </w:rPr>
      </w:pPr>
      <w:r w:rsidRPr="00A25C75">
        <w:rPr>
          <w:rFonts w:ascii="Times New Roman" w:hAnsi="Times New Roman" w:cs="Times New Roman"/>
          <w:b/>
          <w:sz w:val="24"/>
          <w:szCs w:val="24"/>
        </w:rPr>
        <w:t>Filing a Claim of Undue Hardship:</w:t>
      </w:r>
    </w:p>
    <w:p w14:paraId="694FD7F6" w14:textId="77777777" w:rsidR="00B77CCD" w:rsidRPr="00A25C75" w:rsidRDefault="00B77CCD" w:rsidP="00B77CCD">
      <w:pPr>
        <w:rPr>
          <w:rFonts w:ascii="Times New Roman" w:hAnsi="Times New Roman" w:cs="Times New Roman"/>
          <w:sz w:val="24"/>
          <w:szCs w:val="24"/>
        </w:rPr>
      </w:pPr>
      <w:r w:rsidRPr="00A25C75">
        <w:rPr>
          <w:rFonts w:ascii="Times New Roman" w:hAnsi="Times New Roman" w:cs="Times New Roman"/>
          <w:sz w:val="24"/>
          <w:szCs w:val="24"/>
        </w:rPr>
        <w:t>If the</w:t>
      </w:r>
      <w:r w:rsidR="00A25C75">
        <w:rPr>
          <w:rFonts w:ascii="Times New Roman" w:hAnsi="Times New Roman" w:cs="Times New Roman"/>
          <w:sz w:val="24"/>
          <w:szCs w:val="24"/>
        </w:rPr>
        <w:t xml:space="preserve"> applicant/beneficiary</w:t>
      </w:r>
      <w:r w:rsidRPr="00A25C75">
        <w:rPr>
          <w:rFonts w:ascii="Times New Roman" w:hAnsi="Times New Roman" w:cs="Times New Roman"/>
          <w:sz w:val="24"/>
          <w:szCs w:val="24"/>
        </w:rPr>
        <w:t xml:space="preserve"> </w:t>
      </w:r>
      <w:r w:rsidR="00A25C75">
        <w:rPr>
          <w:rFonts w:ascii="Times New Roman" w:hAnsi="Times New Roman" w:cs="Times New Roman"/>
          <w:sz w:val="24"/>
          <w:szCs w:val="24"/>
        </w:rPr>
        <w:t xml:space="preserve">wishes </w:t>
      </w:r>
      <w:r w:rsidRPr="00A25C75">
        <w:rPr>
          <w:rFonts w:ascii="Times New Roman" w:hAnsi="Times New Roman" w:cs="Times New Roman"/>
          <w:sz w:val="24"/>
          <w:szCs w:val="24"/>
        </w:rPr>
        <w:t xml:space="preserve">to make a claim of an undue hardship, </w:t>
      </w:r>
      <w:r w:rsidR="000B5303">
        <w:rPr>
          <w:rFonts w:ascii="Times New Roman" w:hAnsi="Times New Roman" w:cs="Times New Roman"/>
          <w:sz w:val="24"/>
          <w:szCs w:val="24"/>
        </w:rPr>
        <w:t>she/</w:t>
      </w:r>
      <w:r w:rsidR="00F45EFF" w:rsidRPr="00A25C75">
        <w:rPr>
          <w:rFonts w:ascii="Times New Roman" w:hAnsi="Times New Roman" w:cs="Times New Roman"/>
          <w:sz w:val="24"/>
          <w:szCs w:val="24"/>
        </w:rPr>
        <w:t>he must complete the Asset Transfer Undue Hardship Claim Form</w:t>
      </w:r>
      <w:r w:rsidR="00523CC8" w:rsidRPr="00A25C75">
        <w:rPr>
          <w:rFonts w:ascii="Times New Roman" w:hAnsi="Times New Roman" w:cs="Times New Roman"/>
          <w:sz w:val="24"/>
          <w:szCs w:val="24"/>
        </w:rPr>
        <w:t xml:space="preserve"> and provide</w:t>
      </w:r>
      <w:r w:rsidR="00C3714C" w:rsidRPr="00A25C75">
        <w:rPr>
          <w:rFonts w:ascii="Times New Roman" w:hAnsi="Times New Roman" w:cs="Times New Roman"/>
          <w:sz w:val="24"/>
          <w:szCs w:val="24"/>
        </w:rPr>
        <w:t xml:space="preserve"> the </w:t>
      </w:r>
      <w:r w:rsidRPr="00A25C75">
        <w:rPr>
          <w:rFonts w:ascii="Times New Roman" w:hAnsi="Times New Roman" w:cs="Times New Roman"/>
          <w:sz w:val="24"/>
          <w:szCs w:val="24"/>
        </w:rPr>
        <w:t xml:space="preserve">documentation </w:t>
      </w:r>
      <w:r w:rsidR="00C3714C" w:rsidRPr="00A25C75">
        <w:rPr>
          <w:rFonts w:ascii="Times New Roman" w:hAnsi="Times New Roman" w:cs="Times New Roman"/>
          <w:sz w:val="24"/>
          <w:szCs w:val="24"/>
        </w:rPr>
        <w:t xml:space="preserve">described on the form. </w:t>
      </w:r>
      <w:r w:rsidR="008B029E" w:rsidRPr="00A25C75">
        <w:rPr>
          <w:rFonts w:ascii="Times New Roman" w:hAnsi="Times New Roman" w:cs="Times New Roman"/>
          <w:sz w:val="24"/>
          <w:szCs w:val="24"/>
        </w:rPr>
        <w:t>The individual must complete the Asset Transfer Undue Hardship Claim Form and return it to ESA by the deadline stipulated on the form</w:t>
      </w:r>
      <w:r w:rsidR="00A25C75">
        <w:rPr>
          <w:rFonts w:ascii="Times New Roman" w:hAnsi="Times New Roman" w:cs="Times New Roman"/>
          <w:sz w:val="24"/>
          <w:szCs w:val="24"/>
        </w:rPr>
        <w:t xml:space="preserve"> to prevent the application of the penalty period</w:t>
      </w:r>
      <w:r w:rsidR="008B029E" w:rsidRPr="00A25C75">
        <w:rPr>
          <w:rFonts w:ascii="Times New Roman" w:hAnsi="Times New Roman" w:cs="Times New Roman"/>
          <w:sz w:val="24"/>
          <w:szCs w:val="24"/>
        </w:rPr>
        <w:t>.</w:t>
      </w:r>
      <w:r w:rsidR="00A25C75">
        <w:rPr>
          <w:rFonts w:ascii="Times New Roman" w:hAnsi="Times New Roman" w:cs="Times New Roman"/>
          <w:sz w:val="24"/>
          <w:szCs w:val="24"/>
        </w:rPr>
        <w:t xml:space="preserve">  </w:t>
      </w:r>
    </w:p>
    <w:p w14:paraId="371CE9A9" w14:textId="77777777" w:rsidR="00A25C75" w:rsidRDefault="00B77CCD" w:rsidP="00B77CCD">
      <w:pPr>
        <w:rPr>
          <w:rFonts w:ascii="Times New Roman" w:hAnsi="Times New Roman" w:cs="Times New Roman"/>
          <w:sz w:val="24"/>
          <w:szCs w:val="24"/>
        </w:rPr>
      </w:pPr>
      <w:r w:rsidRPr="00A25C75">
        <w:rPr>
          <w:rFonts w:ascii="Times New Roman" w:hAnsi="Times New Roman" w:cs="Times New Roman"/>
          <w:sz w:val="24"/>
          <w:szCs w:val="24"/>
        </w:rPr>
        <w:t xml:space="preserve">The </w:t>
      </w:r>
      <w:r w:rsidR="00A25C75">
        <w:rPr>
          <w:rFonts w:ascii="Times New Roman" w:hAnsi="Times New Roman" w:cs="Times New Roman"/>
          <w:sz w:val="24"/>
          <w:szCs w:val="24"/>
        </w:rPr>
        <w:t>applicant/beneficiary</w:t>
      </w:r>
      <w:r w:rsidR="00A25C75" w:rsidRPr="00A25C75">
        <w:rPr>
          <w:rFonts w:ascii="Times New Roman" w:hAnsi="Times New Roman" w:cs="Times New Roman"/>
          <w:sz w:val="24"/>
          <w:szCs w:val="24"/>
        </w:rPr>
        <w:t xml:space="preserve"> </w:t>
      </w:r>
      <w:r w:rsidRPr="00A25C75">
        <w:rPr>
          <w:rFonts w:ascii="Times New Roman" w:hAnsi="Times New Roman" w:cs="Times New Roman"/>
          <w:sz w:val="24"/>
          <w:szCs w:val="24"/>
        </w:rPr>
        <w:t>has the burden of proof and must provide written evidence to clearly substantiate</w:t>
      </w:r>
      <w:r w:rsidR="00A25C75">
        <w:rPr>
          <w:rFonts w:ascii="Times New Roman" w:hAnsi="Times New Roman" w:cs="Times New Roman"/>
          <w:sz w:val="24"/>
          <w:szCs w:val="24"/>
        </w:rPr>
        <w:t>: (1)</w:t>
      </w:r>
      <w:r w:rsidRPr="00A25C75">
        <w:rPr>
          <w:rFonts w:ascii="Times New Roman" w:hAnsi="Times New Roman" w:cs="Times New Roman"/>
          <w:sz w:val="24"/>
          <w:szCs w:val="24"/>
        </w:rPr>
        <w:t xml:space="preserve"> the </w:t>
      </w:r>
      <w:r w:rsidR="00A25C75">
        <w:rPr>
          <w:rFonts w:ascii="Times New Roman" w:hAnsi="Times New Roman" w:cs="Times New Roman"/>
          <w:sz w:val="24"/>
          <w:szCs w:val="24"/>
        </w:rPr>
        <w:t>reason for</w:t>
      </w:r>
      <w:r w:rsidRPr="00A25C75">
        <w:rPr>
          <w:rFonts w:ascii="Times New Roman" w:hAnsi="Times New Roman" w:cs="Times New Roman"/>
          <w:sz w:val="24"/>
          <w:szCs w:val="24"/>
        </w:rPr>
        <w:t xml:space="preserve"> the transfer</w:t>
      </w:r>
      <w:r w:rsidR="00A25C75">
        <w:rPr>
          <w:rFonts w:ascii="Times New Roman" w:hAnsi="Times New Roman" w:cs="Times New Roman"/>
          <w:sz w:val="24"/>
          <w:szCs w:val="24"/>
        </w:rPr>
        <w:t xml:space="preserve">; (2) the risk of loss of long term care institutional or home and community based services, </w:t>
      </w:r>
      <w:r w:rsidRPr="00A25C75">
        <w:rPr>
          <w:rFonts w:ascii="Times New Roman" w:hAnsi="Times New Roman" w:cs="Times New Roman"/>
          <w:sz w:val="24"/>
          <w:szCs w:val="24"/>
        </w:rPr>
        <w:t xml:space="preserve">and </w:t>
      </w:r>
      <w:r w:rsidR="00A25C75">
        <w:rPr>
          <w:rFonts w:ascii="Times New Roman" w:hAnsi="Times New Roman" w:cs="Times New Roman"/>
          <w:sz w:val="24"/>
          <w:szCs w:val="24"/>
        </w:rPr>
        <w:t xml:space="preserve">(3) </w:t>
      </w:r>
      <w:r w:rsidR="00A25C75" w:rsidRPr="00F81996">
        <w:rPr>
          <w:rFonts w:ascii="Times New Roman" w:hAnsi="Times New Roman" w:cs="Times New Roman"/>
          <w:sz w:val="24"/>
          <w:szCs w:val="24"/>
        </w:rPr>
        <w:t>that losing Medicaid long term care services will</w:t>
      </w:r>
      <w:r w:rsidR="00A25C75">
        <w:rPr>
          <w:rFonts w:ascii="Times New Roman" w:hAnsi="Times New Roman" w:cs="Times New Roman"/>
          <w:i/>
          <w:sz w:val="24"/>
          <w:szCs w:val="24"/>
        </w:rPr>
        <w:t xml:space="preserve"> either</w:t>
      </w:r>
      <w:r w:rsidRPr="00F81996">
        <w:rPr>
          <w:rFonts w:ascii="Times New Roman" w:hAnsi="Times New Roman" w:cs="Times New Roman"/>
          <w:i/>
          <w:sz w:val="24"/>
          <w:szCs w:val="24"/>
        </w:rPr>
        <w:t>.</w:t>
      </w:r>
      <w:r w:rsidR="00A25C75">
        <w:rPr>
          <w:rFonts w:ascii="Times New Roman" w:hAnsi="Times New Roman" w:cs="Times New Roman"/>
          <w:sz w:val="24"/>
          <w:szCs w:val="24"/>
        </w:rPr>
        <w:t xml:space="preserve"> threaten the individual’s life or health </w:t>
      </w:r>
      <w:r w:rsidR="00A25C75">
        <w:rPr>
          <w:rFonts w:ascii="Times New Roman" w:hAnsi="Times New Roman" w:cs="Times New Roman"/>
          <w:i/>
          <w:sz w:val="24"/>
          <w:szCs w:val="24"/>
        </w:rPr>
        <w:t>or</w:t>
      </w:r>
      <w:r w:rsidR="00A25C75">
        <w:rPr>
          <w:rFonts w:ascii="Times New Roman" w:hAnsi="Times New Roman" w:cs="Times New Roman"/>
          <w:sz w:val="24"/>
          <w:szCs w:val="24"/>
        </w:rPr>
        <w:t xml:space="preserve"> will result in deprivation of food, clothing, shelter or other necessities of life.  If the applicant/beneficiary is asserting that the denial of long term care services will threaten his/her life or health, the applicant/beneficiary must submit a signed statement from a physician to that effect.</w:t>
      </w:r>
    </w:p>
    <w:p w14:paraId="6B3CC472" w14:textId="77777777" w:rsidR="00A25C75" w:rsidRDefault="00A25C75" w:rsidP="00A25C75">
      <w:pPr>
        <w:rPr>
          <w:rFonts w:ascii="Times New Roman" w:hAnsi="Times New Roman" w:cs="Times New Roman"/>
          <w:sz w:val="24"/>
          <w:szCs w:val="24"/>
        </w:rPr>
      </w:pPr>
      <w:r>
        <w:rPr>
          <w:rFonts w:ascii="Times New Roman" w:hAnsi="Times New Roman" w:cs="Times New Roman"/>
          <w:sz w:val="24"/>
          <w:szCs w:val="24"/>
        </w:rPr>
        <w:t>Written documentation should include any evidence that the applicant/beneficiary believes is probative of the idea that discontinuation of long term care services will result in undue hardship, as defined.  Examples of acceptable documentation include:</w:t>
      </w:r>
    </w:p>
    <w:p w14:paraId="15493145" w14:textId="77777777" w:rsidR="00A25C75" w:rsidRPr="00207A11" w:rsidRDefault="00A25C75" w:rsidP="00A25C75">
      <w:pPr>
        <w:pStyle w:val="ListParagraph"/>
        <w:numPr>
          <w:ilvl w:val="0"/>
          <w:numId w:val="4"/>
        </w:numPr>
        <w:rPr>
          <w:rFonts w:ascii="Times New Roman" w:hAnsi="Times New Roman" w:cs="Times New Roman"/>
          <w:sz w:val="24"/>
          <w:szCs w:val="24"/>
        </w:rPr>
      </w:pPr>
      <w:r w:rsidRPr="00207A11">
        <w:rPr>
          <w:rFonts w:ascii="Times New Roman" w:hAnsi="Times New Roman" w:cs="Times New Roman"/>
          <w:sz w:val="24"/>
          <w:szCs w:val="24"/>
        </w:rPr>
        <w:t xml:space="preserve">A letter from a nursing facility or home health agency documenting that the applicant/beneficiary’s access to services will be discharged imminently. </w:t>
      </w:r>
    </w:p>
    <w:p w14:paraId="33F3CE41" w14:textId="77777777" w:rsidR="00A25C75" w:rsidRDefault="00A25C75" w:rsidP="00A25C7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 physician</w:t>
      </w:r>
      <w:r w:rsidR="00107A60">
        <w:rPr>
          <w:rFonts w:ascii="Times New Roman" w:hAnsi="Times New Roman" w:cs="Times New Roman"/>
          <w:sz w:val="24"/>
          <w:szCs w:val="24"/>
        </w:rPr>
        <w:t xml:space="preserve">’s </w:t>
      </w:r>
      <w:r>
        <w:rPr>
          <w:rFonts w:ascii="Times New Roman" w:hAnsi="Times New Roman" w:cs="Times New Roman"/>
          <w:sz w:val="24"/>
          <w:szCs w:val="24"/>
        </w:rPr>
        <w:t xml:space="preserve">statement </w:t>
      </w:r>
    </w:p>
    <w:p w14:paraId="2B3C5135" w14:textId="77777777" w:rsidR="00A25C75" w:rsidRDefault="00A25C75" w:rsidP="00F819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Rent statements or payments</w:t>
      </w:r>
    </w:p>
    <w:p w14:paraId="44041D92" w14:textId="77777777" w:rsidR="00A25C75" w:rsidRDefault="00A25C75" w:rsidP="00F81996">
      <w:pPr>
        <w:pStyle w:val="ListParagraph"/>
        <w:numPr>
          <w:ilvl w:val="0"/>
          <w:numId w:val="4"/>
        </w:numPr>
        <w:rPr>
          <w:rFonts w:ascii="Times New Roman" w:hAnsi="Times New Roman" w:cs="Times New Roman"/>
          <w:sz w:val="24"/>
          <w:szCs w:val="24"/>
        </w:rPr>
      </w:pPr>
      <w:r w:rsidRPr="00F81996">
        <w:rPr>
          <w:rFonts w:ascii="Times New Roman" w:hAnsi="Times New Roman" w:cs="Times New Roman"/>
          <w:sz w:val="24"/>
          <w:szCs w:val="24"/>
        </w:rPr>
        <w:t>Grocery bills</w:t>
      </w:r>
    </w:p>
    <w:p w14:paraId="6CEF302B" w14:textId="77777777" w:rsidR="00A25C75" w:rsidRPr="00F81996" w:rsidRDefault="003E1ABB" w:rsidP="00F819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Clothing bills</w:t>
      </w:r>
    </w:p>
    <w:p w14:paraId="2F17E26D" w14:textId="77777777" w:rsidR="00523CC8" w:rsidRPr="00A25C75" w:rsidRDefault="00523CC8" w:rsidP="00B77CCD">
      <w:pPr>
        <w:rPr>
          <w:rFonts w:ascii="Times New Roman" w:hAnsi="Times New Roman" w:cs="Times New Roman"/>
          <w:b/>
          <w:sz w:val="24"/>
          <w:szCs w:val="24"/>
        </w:rPr>
      </w:pPr>
      <w:r w:rsidRPr="00A25C75">
        <w:rPr>
          <w:rFonts w:ascii="Times New Roman" w:hAnsi="Times New Roman" w:cs="Times New Roman"/>
          <w:b/>
          <w:sz w:val="24"/>
          <w:szCs w:val="24"/>
        </w:rPr>
        <w:lastRenderedPageBreak/>
        <w:t>ESA’s Evaluation of Undue Hardship:</w:t>
      </w:r>
    </w:p>
    <w:p w14:paraId="42562C5D" w14:textId="77777777" w:rsidR="00A25C75" w:rsidRPr="00F81996" w:rsidRDefault="000B5303" w:rsidP="000E7F4C">
      <w:pPr>
        <w:pStyle w:val="BodyText"/>
        <w:spacing w:before="91"/>
        <w:ind w:right="165"/>
        <w:rPr>
          <w:sz w:val="24"/>
          <w:szCs w:val="24"/>
        </w:rPr>
      </w:pPr>
      <w:r>
        <w:rPr>
          <w:sz w:val="24"/>
          <w:szCs w:val="24"/>
        </w:rPr>
        <w:t>The Department of Human Services Economic Security Administration (</w:t>
      </w:r>
      <w:r w:rsidR="00A25C75">
        <w:rPr>
          <w:sz w:val="24"/>
          <w:szCs w:val="24"/>
        </w:rPr>
        <w:t>ESA</w:t>
      </w:r>
      <w:r>
        <w:rPr>
          <w:sz w:val="24"/>
          <w:szCs w:val="24"/>
        </w:rPr>
        <w:t>)</w:t>
      </w:r>
      <w:r w:rsidR="00A25C75">
        <w:rPr>
          <w:sz w:val="24"/>
          <w:szCs w:val="24"/>
        </w:rPr>
        <w:t xml:space="preserve"> will review the application and documentation provided and make a </w:t>
      </w:r>
      <w:proofErr w:type="gramStart"/>
      <w:r w:rsidR="00A25C75">
        <w:rPr>
          <w:sz w:val="24"/>
          <w:szCs w:val="24"/>
        </w:rPr>
        <w:t>determination</w:t>
      </w:r>
      <w:proofErr w:type="gramEnd"/>
      <w:r w:rsidR="00A25C75">
        <w:rPr>
          <w:sz w:val="24"/>
          <w:szCs w:val="24"/>
        </w:rPr>
        <w:t xml:space="preserve"> that takes into account all the information presented.  </w:t>
      </w:r>
      <w:r w:rsidR="00951037" w:rsidRPr="00A25C75">
        <w:rPr>
          <w:sz w:val="24"/>
          <w:szCs w:val="24"/>
        </w:rPr>
        <w:t>An undue hardship exists if</w:t>
      </w:r>
      <w:r w:rsidR="00523CC8" w:rsidRPr="00A25C75">
        <w:rPr>
          <w:sz w:val="24"/>
          <w:szCs w:val="24"/>
        </w:rPr>
        <w:t xml:space="preserve"> </w:t>
      </w:r>
      <w:r w:rsidR="00523CC8" w:rsidRPr="00F81996">
        <w:rPr>
          <w:sz w:val="24"/>
          <w:szCs w:val="24"/>
        </w:rPr>
        <w:t xml:space="preserve">the preclusion of receiving long term care services would threaten </w:t>
      </w:r>
      <w:r w:rsidR="000E7F4C" w:rsidRPr="00F81996">
        <w:rPr>
          <w:sz w:val="24"/>
          <w:szCs w:val="24"/>
        </w:rPr>
        <w:t>the applicant</w:t>
      </w:r>
      <w:r>
        <w:rPr>
          <w:sz w:val="24"/>
          <w:szCs w:val="24"/>
        </w:rPr>
        <w:t>’s</w:t>
      </w:r>
      <w:r w:rsidR="000E7F4C" w:rsidRPr="00F81996">
        <w:rPr>
          <w:sz w:val="24"/>
          <w:szCs w:val="24"/>
        </w:rPr>
        <w:t>/beneficiary’s</w:t>
      </w:r>
      <w:r w:rsidR="00523CC8" w:rsidRPr="00F81996">
        <w:rPr>
          <w:sz w:val="24"/>
          <w:szCs w:val="24"/>
        </w:rPr>
        <w:t xml:space="preserve"> life or health, or would deprive </w:t>
      </w:r>
      <w:r w:rsidR="000E7F4C" w:rsidRPr="00F81996">
        <w:rPr>
          <w:sz w:val="24"/>
          <w:szCs w:val="24"/>
        </w:rPr>
        <w:t>him/her</w:t>
      </w:r>
      <w:r w:rsidR="00523CC8" w:rsidRPr="00F81996">
        <w:rPr>
          <w:sz w:val="24"/>
          <w:szCs w:val="24"/>
        </w:rPr>
        <w:t xml:space="preserve"> of food, clothing, shelter or other necessities of life.</w:t>
      </w:r>
    </w:p>
    <w:p w14:paraId="7EF0D189" w14:textId="77777777" w:rsidR="00C621D0" w:rsidRPr="00A25C75" w:rsidRDefault="00C621D0" w:rsidP="00F81996">
      <w:pPr>
        <w:pStyle w:val="BodyText"/>
        <w:spacing w:before="91"/>
        <w:ind w:right="165"/>
      </w:pPr>
    </w:p>
    <w:p w14:paraId="77A3683B" w14:textId="77777777" w:rsidR="00A25C75" w:rsidRDefault="001A33A7" w:rsidP="001A33A7">
      <w:pPr>
        <w:rPr>
          <w:rFonts w:ascii="Times New Roman" w:hAnsi="Times New Roman" w:cs="Times New Roman"/>
          <w:sz w:val="24"/>
          <w:szCs w:val="24"/>
        </w:rPr>
      </w:pPr>
      <w:r w:rsidRPr="00A25C75">
        <w:rPr>
          <w:rFonts w:ascii="Times New Roman" w:hAnsi="Times New Roman" w:cs="Times New Roman"/>
          <w:sz w:val="24"/>
          <w:szCs w:val="24"/>
        </w:rPr>
        <w:t xml:space="preserve">If </w:t>
      </w:r>
      <w:r w:rsidR="00C25647" w:rsidRPr="00A25C75">
        <w:rPr>
          <w:rFonts w:ascii="Times New Roman" w:hAnsi="Times New Roman" w:cs="Times New Roman"/>
          <w:sz w:val="24"/>
          <w:szCs w:val="24"/>
        </w:rPr>
        <w:t xml:space="preserve">documentation </w:t>
      </w:r>
      <w:r w:rsidRPr="00A25C75">
        <w:rPr>
          <w:rFonts w:ascii="Times New Roman" w:hAnsi="Times New Roman" w:cs="Times New Roman"/>
          <w:sz w:val="24"/>
          <w:szCs w:val="24"/>
        </w:rPr>
        <w:t xml:space="preserve">is presented to the ESA worker which demonstrates that the individual would be </w:t>
      </w:r>
      <w:r w:rsidR="00C25647" w:rsidRPr="00A25C75">
        <w:rPr>
          <w:rFonts w:ascii="Times New Roman" w:hAnsi="Times New Roman" w:cs="Times New Roman"/>
          <w:sz w:val="24"/>
          <w:szCs w:val="24"/>
        </w:rPr>
        <w:t>deprive</w:t>
      </w:r>
      <w:r w:rsidRPr="00A25C75">
        <w:rPr>
          <w:rFonts w:ascii="Times New Roman" w:hAnsi="Times New Roman" w:cs="Times New Roman"/>
          <w:sz w:val="24"/>
          <w:szCs w:val="24"/>
        </w:rPr>
        <w:t>d</w:t>
      </w:r>
      <w:r w:rsidR="00C25647" w:rsidRPr="00A25C75">
        <w:rPr>
          <w:rFonts w:ascii="Times New Roman" w:hAnsi="Times New Roman" w:cs="Times New Roman"/>
          <w:sz w:val="24"/>
          <w:szCs w:val="24"/>
        </w:rPr>
        <w:t xml:space="preserve"> of food, clothing or shelter</w:t>
      </w:r>
      <w:r w:rsidRPr="00A25C75">
        <w:rPr>
          <w:rFonts w:ascii="Times New Roman" w:hAnsi="Times New Roman" w:cs="Times New Roman"/>
          <w:sz w:val="24"/>
          <w:szCs w:val="24"/>
        </w:rPr>
        <w:t xml:space="preserve"> if the penalty period is implemented, the worker shall grant a finding of undue hardship.  </w:t>
      </w:r>
      <w:r w:rsidR="00A25C75">
        <w:rPr>
          <w:rFonts w:ascii="Times New Roman" w:hAnsi="Times New Roman" w:cs="Times New Roman"/>
          <w:sz w:val="24"/>
          <w:szCs w:val="24"/>
        </w:rPr>
        <w:t xml:space="preserve">If </w:t>
      </w:r>
      <w:r w:rsidR="00AC34E1" w:rsidRPr="00A25C75">
        <w:rPr>
          <w:rFonts w:ascii="Times New Roman" w:hAnsi="Times New Roman" w:cs="Times New Roman"/>
          <w:sz w:val="24"/>
          <w:szCs w:val="24"/>
        </w:rPr>
        <w:t>an undue hardship</w:t>
      </w:r>
      <w:r w:rsidR="00A25C75">
        <w:rPr>
          <w:rFonts w:ascii="Times New Roman" w:hAnsi="Times New Roman" w:cs="Times New Roman"/>
          <w:sz w:val="24"/>
          <w:szCs w:val="24"/>
        </w:rPr>
        <w:t xml:space="preserve"> exemption is granted</w:t>
      </w:r>
      <w:r w:rsidR="00AC34E1" w:rsidRPr="00A25C75">
        <w:rPr>
          <w:rFonts w:ascii="Times New Roman" w:hAnsi="Times New Roman" w:cs="Times New Roman"/>
          <w:sz w:val="24"/>
          <w:szCs w:val="24"/>
        </w:rPr>
        <w:t>, the penalty period will not be imposed</w:t>
      </w:r>
      <w:r w:rsidR="00A25C75">
        <w:rPr>
          <w:rFonts w:ascii="Times New Roman" w:hAnsi="Times New Roman" w:cs="Times New Roman"/>
          <w:sz w:val="24"/>
          <w:szCs w:val="24"/>
        </w:rPr>
        <w:t xml:space="preserve"> and the individual will be determined eligible for long term care services without interruption or delay</w:t>
      </w:r>
      <w:r w:rsidR="00AC34E1" w:rsidRPr="00A25C75">
        <w:rPr>
          <w:rFonts w:ascii="Times New Roman" w:hAnsi="Times New Roman" w:cs="Times New Roman"/>
          <w:sz w:val="24"/>
          <w:szCs w:val="24"/>
        </w:rPr>
        <w:t xml:space="preserve">. </w:t>
      </w:r>
    </w:p>
    <w:p w14:paraId="52E29C30" w14:textId="77777777" w:rsidR="00A25C75" w:rsidRDefault="00AC34E1" w:rsidP="001A33A7">
      <w:pPr>
        <w:rPr>
          <w:rFonts w:ascii="Times New Roman" w:hAnsi="Times New Roman" w:cs="Times New Roman"/>
          <w:sz w:val="24"/>
          <w:szCs w:val="24"/>
        </w:rPr>
      </w:pPr>
      <w:r w:rsidRPr="00A25C75">
        <w:rPr>
          <w:rFonts w:ascii="Times New Roman" w:hAnsi="Times New Roman" w:cs="Times New Roman"/>
          <w:sz w:val="24"/>
          <w:szCs w:val="24"/>
        </w:rPr>
        <w:t xml:space="preserve">If the ESA worker determines that </w:t>
      </w:r>
      <w:r w:rsidR="00A25C75">
        <w:rPr>
          <w:rFonts w:ascii="Times New Roman" w:hAnsi="Times New Roman" w:cs="Times New Roman"/>
          <w:sz w:val="24"/>
          <w:szCs w:val="24"/>
        </w:rPr>
        <w:t xml:space="preserve">the criteria for </w:t>
      </w:r>
      <w:r w:rsidRPr="00A25C75">
        <w:rPr>
          <w:rFonts w:ascii="Times New Roman" w:hAnsi="Times New Roman" w:cs="Times New Roman"/>
          <w:sz w:val="24"/>
          <w:szCs w:val="24"/>
        </w:rPr>
        <w:t xml:space="preserve">an undue hardship has not been </w:t>
      </w:r>
      <w:r w:rsidR="00A25C75">
        <w:rPr>
          <w:rFonts w:ascii="Times New Roman" w:hAnsi="Times New Roman" w:cs="Times New Roman"/>
          <w:sz w:val="24"/>
          <w:szCs w:val="24"/>
        </w:rPr>
        <w:t>met</w:t>
      </w:r>
      <w:r w:rsidRPr="00A25C75">
        <w:rPr>
          <w:rFonts w:ascii="Times New Roman" w:hAnsi="Times New Roman" w:cs="Times New Roman"/>
          <w:sz w:val="24"/>
          <w:szCs w:val="24"/>
        </w:rPr>
        <w:t xml:space="preserve">, then the ESA worker will determine the penalty period and the applicant/beneficiary will be precluded from receiving long-term care services for </w:t>
      </w:r>
      <w:r w:rsidR="00A25C75" w:rsidRPr="00A25C75">
        <w:rPr>
          <w:rFonts w:ascii="Times New Roman" w:hAnsi="Times New Roman" w:cs="Times New Roman"/>
          <w:sz w:val="24"/>
          <w:szCs w:val="24"/>
        </w:rPr>
        <w:t>th</w:t>
      </w:r>
      <w:r w:rsidR="00A25C75">
        <w:rPr>
          <w:rFonts w:ascii="Times New Roman" w:hAnsi="Times New Roman" w:cs="Times New Roman"/>
          <w:sz w:val="24"/>
          <w:szCs w:val="24"/>
        </w:rPr>
        <w:t>e</w:t>
      </w:r>
      <w:r w:rsidR="00A25C75" w:rsidRPr="00A25C75">
        <w:rPr>
          <w:rFonts w:ascii="Times New Roman" w:hAnsi="Times New Roman" w:cs="Times New Roman"/>
          <w:sz w:val="24"/>
          <w:szCs w:val="24"/>
        </w:rPr>
        <w:t xml:space="preserve"> </w:t>
      </w:r>
      <w:r w:rsidRPr="00A25C75">
        <w:rPr>
          <w:rFonts w:ascii="Times New Roman" w:hAnsi="Times New Roman" w:cs="Times New Roman"/>
          <w:sz w:val="24"/>
          <w:szCs w:val="24"/>
        </w:rPr>
        <w:t>penalty period</w:t>
      </w:r>
      <w:r w:rsidR="00A25C75">
        <w:rPr>
          <w:rFonts w:ascii="Times New Roman" w:hAnsi="Times New Roman" w:cs="Times New Roman"/>
          <w:sz w:val="24"/>
          <w:szCs w:val="24"/>
        </w:rPr>
        <w:t xml:space="preserve"> originally included on the notice of ineligibility</w:t>
      </w:r>
      <w:r w:rsidRPr="00A25C75">
        <w:rPr>
          <w:rFonts w:ascii="Times New Roman" w:hAnsi="Times New Roman" w:cs="Times New Roman"/>
          <w:sz w:val="24"/>
          <w:szCs w:val="24"/>
        </w:rPr>
        <w:t>.</w:t>
      </w:r>
    </w:p>
    <w:p w14:paraId="329813C1" w14:textId="10FED23A" w:rsidR="003E1ABB" w:rsidRDefault="000B5303" w:rsidP="00EB34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r w:rsidR="003E1ABB" w:rsidRPr="003E1ABB">
        <w:rPr>
          <w:rFonts w:ascii="Times New Roman" w:eastAsia="Times New Roman" w:hAnsi="Times New Roman" w:cs="Times New Roman"/>
          <w:sz w:val="24"/>
          <w:szCs w:val="24"/>
        </w:rPr>
        <w:t xml:space="preserve">ny questions regarding this policy </w:t>
      </w:r>
      <w:r w:rsidR="00EB3448">
        <w:rPr>
          <w:rFonts w:ascii="Times New Roman" w:eastAsia="Times New Roman" w:hAnsi="Times New Roman" w:cs="Times New Roman"/>
          <w:sz w:val="24"/>
          <w:szCs w:val="24"/>
        </w:rPr>
        <w:t>please contact</w:t>
      </w:r>
      <w:r w:rsidR="003E1ABB" w:rsidRPr="003E1ABB">
        <w:rPr>
          <w:rFonts w:ascii="Times New Roman" w:eastAsia="Times New Roman" w:hAnsi="Times New Roman" w:cs="Times New Roman"/>
          <w:sz w:val="24"/>
          <w:szCs w:val="24"/>
        </w:rPr>
        <w:t xml:space="preserve"> Department of Health Care Finance</w:t>
      </w:r>
      <w:r w:rsidR="00EB3448">
        <w:rPr>
          <w:rFonts w:ascii="Times New Roman" w:eastAsia="Times New Roman" w:hAnsi="Times New Roman" w:cs="Times New Roman"/>
          <w:sz w:val="24"/>
          <w:szCs w:val="24"/>
        </w:rPr>
        <w:t xml:space="preserve"> at </w:t>
      </w:r>
      <w:hyperlink r:id="rId7" w:history="1">
        <w:r w:rsidR="00EB3448" w:rsidRPr="00C56A10">
          <w:rPr>
            <w:rStyle w:val="Hyperlink"/>
            <w:rFonts w:ascii="Times New Roman" w:eastAsia="Times New Roman" w:hAnsi="Times New Roman" w:cs="Times New Roman"/>
            <w:sz w:val="24"/>
            <w:szCs w:val="24"/>
          </w:rPr>
          <w:t>medicaid.renewal@dc.gov</w:t>
        </w:r>
      </w:hyperlink>
      <w:r w:rsidR="00EB3448">
        <w:rPr>
          <w:rFonts w:ascii="Times New Roman" w:eastAsia="Times New Roman" w:hAnsi="Times New Roman" w:cs="Times New Roman"/>
          <w:sz w:val="24"/>
          <w:szCs w:val="24"/>
        </w:rPr>
        <w:t xml:space="preserve">. </w:t>
      </w:r>
    </w:p>
    <w:p w14:paraId="0F3AB25A" w14:textId="77777777" w:rsidR="008B029E" w:rsidRPr="00A25C75" w:rsidRDefault="008B029E" w:rsidP="008B029E">
      <w:pPr>
        <w:rPr>
          <w:rFonts w:ascii="Times New Roman" w:hAnsi="Times New Roman" w:cs="Times New Roman"/>
          <w:sz w:val="24"/>
          <w:szCs w:val="24"/>
        </w:rPr>
      </w:pPr>
    </w:p>
    <w:p w14:paraId="59D8D500" w14:textId="77777777" w:rsidR="008B029E" w:rsidRPr="00A25C75" w:rsidRDefault="008B029E" w:rsidP="008B029E">
      <w:pPr>
        <w:rPr>
          <w:rFonts w:ascii="Times New Roman" w:hAnsi="Times New Roman" w:cs="Times New Roman"/>
          <w:sz w:val="24"/>
          <w:szCs w:val="24"/>
        </w:rPr>
      </w:pPr>
    </w:p>
    <w:p w14:paraId="6E704494" w14:textId="77777777" w:rsidR="00951037" w:rsidRPr="00A25C75" w:rsidRDefault="00951037" w:rsidP="00B77CCD">
      <w:pPr>
        <w:rPr>
          <w:rFonts w:ascii="Times New Roman" w:hAnsi="Times New Roman" w:cs="Times New Roman"/>
          <w:sz w:val="24"/>
          <w:szCs w:val="24"/>
        </w:rPr>
      </w:pPr>
    </w:p>
    <w:sectPr w:rsidR="00951037" w:rsidRPr="00A25C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A4DA" w14:textId="77777777" w:rsidR="001244F8" w:rsidRDefault="001244F8" w:rsidP="003B0C8D">
      <w:pPr>
        <w:spacing w:after="0" w:line="240" w:lineRule="auto"/>
      </w:pPr>
      <w:r>
        <w:separator/>
      </w:r>
    </w:p>
  </w:endnote>
  <w:endnote w:type="continuationSeparator" w:id="0">
    <w:p w14:paraId="0A20FC95" w14:textId="77777777" w:rsidR="001244F8" w:rsidRDefault="001244F8" w:rsidP="003B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517B" w14:textId="77777777" w:rsidR="00787CE4" w:rsidRDefault="00787CE4" w:rsidP="00787CE4">
    <w:pPr>
      <w:pStyle w:val="Footer"/>
      <w:jc w:val="right"/>
    </w:pPr>
    <w:r>
      <w:t>DHCF/HCPRA, 7/5/18</w:t>
    </w:r>
  </w:p>
  <w:p w14:paraId="2407CD34" w14:textId="77777777" w:rsidR="003B0C8D" w:rsidRDefault="003B0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24F7" w14:textId="77777777" w:rsidR="001244F8" w:rsidRDefault="001244F8" w:rsidP="003B0C8D">
      <w:pPr>
        <w:spacing w:after="0" w:line="240" w:lineRule="auto"/>
      </w:pPr>
      <w:r>
        <w:separator/>
      </w:r>
    </w:p>
  </w:footnote>
  <w:footnote w:type="continuationSeparator" w:id="0">
    <w:p w14:paraId="38E4D1C3" w14:textId="77777777" w:rsidR="001244F8" w:rsidRDefault="001244F8" w:rsidP="003B0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A24"/>
    <w:multiLevelType w:val="hybridMultilevel"/>
    <w:tmpl w:val="9982A20A"/>
    <w:lvl w:ilvl="0" w:tplc="7BEEF584">
      <w:numFmt w:val="bullet"/>
      <w:lvlText w:val=""/>
      <w:lvlJc w:val="left"/>
      <w:pPr>
        <w:ind w:left="810" w:hanging="360"/>
      </w:pPr>
      <w:rPr>
        <w:rFonts w:ascii="Symbol" w:eastAsia="Symbol" w:hAnsi="Symbol" w:cs="Symbol" w:hint="default"/>
        <w:w w:val="99"/>
        <w:sz w:val="22"/>
        <w:szCs w:val="22"/>
        <w:lang w:val="en-US" w:eastAsia="en-US" w:bidi="en-US"/>
      </w:rPr>
    </w:lvl>
    <w:lvl w:ilvl="1" w:tplc="FA9A7BEC">
      <w:numFmt w:val="bullet"/>
      <w:lvlText w:val="•"/>
      <w:lvlJc w:val="left"/>
      <w:pPr>
        <w:ind w:left="1900" w:hanging="360"/>
      </w:pPr>
      <w:rPr>
        <w:rFonts w:hint="default"/>
        <w:sz w:val="24"/>
        <w:szCs w:val="24"/>
        <w:lang w:val="en-US" w:eastAsia="en-US" w:bidi="en-US"/>
      </w:rPr>
    </w:lvl>
    <w:lvl w:ilvl="2" w:tplc="ED9049DA">
      <w:numFmt w:val="bullet"/>
      <w:lvlText w:val="•"/>
      <w:lvlJc w:val="left"/>
      <w:pPr>
        <w:ind w:left="2940" w:hanging="360"/>
      </w:pPr>
      <w:rPr>
        <w:rFonts w:hint="default"/>
        <w:lang w:val="en-US" w:eastAsia="en-US" w:bidi="en-US"/>
      </w:rPr>
    </w:lvl>
    <w:lvl w:ilvl="3" w:tplc="B10C96E0">
      <w:numFmt w:val="bullet"/>
      <w:lvlText w:val="•"/>
      <w:lvlJc w:val="left"/>
      <w:pPr>
        <w:ind w:left="3980" w:hanging="360"/>
      </w:pPr>
      <w:rPr>
        <w:rFonts w:hint="default"/>
        <w:lang w:val="en-US" w:eastAsia="en-US" w:bidi="en-US"/>
      </w:rPr>
    </w:lvl>
    <w:lvl w:ilvl="4" w:tplc="B36A7B04">
      <w:numFmt w:val="bullet"/>
      <w:lvlText w:val="•"/>
      <w:lvlJc w:val="left"/>
      <w:pPr>
        <w:ind w:left="5020" w:hanging="360"/>
      </w:pPr>
      <w:rPr>
        <w:rFonts w:hint="default"/>
        <w:lang w:val="en-US" w:eastAsia="en-US" w:bidi="en-US"/>
      </w:rPr>
    </w:lvl>
    <w:lvl w:ilvl="5" w:tplc="BFCC8182">
      <w:numFmt w:val="bullet"/>
      <w:lvlText w:val="•"/>
      <w:lvlJc w:val="left"/>
      <w:pPr>
        <w:ind w:left="6060" w:hanging="360"/>
      </w:pPr>
      <w:rPr>
        <w:rFonts w:hint="default"/>
        <w:lang w:val="en-US" w:eastAsia="en-US" w:bidi="en-US"/>
      </w:rPr>
    </w:lvl>
    <w:lvl w:ilvl="6" w:tplc="E55ED832">
      <w:numFmt w:val="bullet"/>
      <w:lvlText w:val="•"/>
      <w:lvlJc w:val="left"/>
      <w:pPr>
        <w:ind w:left="7100" w:hanging="360"/>
      </w:pPr>
      <w:rPr>
        <w:rFonts w:hint="default"/>
        <w:lang w:val="en-US" w:eastAsia="en-US" w:bidi="en-US"/>
      </w:rPr>
    </w:lvl>
    <w:lvl w:ilvl="7" w:tplc="8C6695CA">
      <w:numFmt w:val="bullet"/>
      <w:lvlText w:val="•"/>
      <w:lvlJc w:val="left"/>
      <w:pPr>
        <w:ind w:left="8140" w:hanging="360"/>
      </w:pPr>
      <w:rPr>
        <w:rFonts w:hint="default"/>
        <w:lang w:val="en-US" w:eastAsia="en-US" w:bidi="en-US"/>
      </w:rPr>
    </w:lvl>
    <w:lvl w:ilvl="8" w:tplc="098EEDFA">
      <w:numFmt w:val="bullet"/>
      <w:lvlText w:val="•"/>
      <w:lvlJc w:val="left"/>
      <w:pPr>
        <w:ind w:left="9180" w:hanging="360"/>
      </w:pPr>
      <w:rPr>
        <w:rFonts w:hint="default"/>
        <w:lang w:val="en-US" w:eastAsia="en-US" w:bidi="en-US"/>
      </w:rPr>
    </w:lvl>
  </w:abstractNum>
  <w:abstractNum w:abstractNumId="1" w15:restartNumberingAfterBreak="0">
    <w:nsid w:val="15F50788"/>
    <w:multiLevelType w:val="hybridMultilevel"/>
    <w:tmpl w:val="6B9A4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50ADD"/>
    <w:multiLevelType w:val="hybridMultilevel"/>
    <w:tmpl w:val="C4627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B3AD2"/>
    <w:multiLevelType w:val="hybridMultilevel"/>
    <w:tmpl w:val="A7D06082"/>
    <w:lvl w:ilvl="0" w:tplc="AD3C6D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317708">
    <w:abstractNumId w:val="1"/>
  </w:num>
  <w:num w:numId="2" w16cid:durableId="105005003">
    <w:abstractNumId w:val="2"/>
  </w:num>
  <w:num w:numId="3" w16cid:durableId="934358966">
    <w:abstractNumId w:val="0"/>
  </w:num>
  <w:num w:numId="4" w16cid:durableId="198018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CD"/>
    <w:rsid w:val="00085ECA"/>
    <w:rsid w:val="000B5303"/>
    <w:rsid w:val="000E7F4C"/>
    <w:rsid w:val="00107A60"/>
    <w:rsid w:val="001244F8"/>
    <w:rsid w:val="00166A0A"/>
    <w:rsid w:val="001A2C6E"/>
    <w:rsid w:val="001A33A7"/>
    <w:rsid w:val="001B2203"/>
    <w:rsid w:val="0024115A"/>
    <w:rsid w:val="003B0C8D"/>
    <w:rsid w:val="003E1ABB"/>
    <w:rsid w:val="00467E93"/>
    <w:rsid w:val="00523CC8"/>
    <w:rsid w:val="00585FB1"/>
    <w:rsid w:val="005F2759"/>
    <w:rsid w:val="006A4853"/>
    <w:rsid w:val="006F1803"/>
    <w:rsid w:val="00787CE4"/>
    <w:rsid w:val="007E6CF4"/>
    <w:rsid w:val="00826DDA"/>
    <w:rsid w:val="008B029E"/>
    <w:rsid w:val="008C255F"/>
    <w:rsid w:val="00951037"/>
    <w:rsid w:val="00A25C75"/>
    <w:rsid w:val="00A5369F"/>
    <w:rsid w:val="00AC34E1"/>
    <w:rsid w:val="00AF23E4"/>
    <w:rsid w:val="00B77CCD"/>
    <w:rsid w:val="00C25647"/>
    <w:rsid w:val="00C3714C"/>
    <w:rsid w:val="00C621D0"/>
    <w:rsid w:val="00CD6C55"/>
    <w:rsid w:val="00CE6072"/>
    <w:rsid w:val="00CE6AF4"/>
    <w:rsid w:val="00DD3EA6"/>
    <w:rsid w:val="00E474AD"/>
    <w:rsid w:val="00E57537"/>
    <w:rsid w:val="00E61ECF"/>
    <w:rsid w:val="00EB3448"/>
    <w:rsid w:val="00F45EFF"/>
    <w:rsid w:val="00F74D2F"/>
    <w:rsid w:val="00F81996"/>
    <w:rsid w:val="00FB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B7A4E"/>
  <w15:docId w15:val="{4AA93F4E-2868-4774-A034-39BFF691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7CCD"/>
    <w:pPr>
      <w:ind w:left="720"/>
      <w:contextualSpacing/>
    </w:pPr>
  </w:style>
  <w:style w:type="paragraph" w:styleId="BodyText">
    <w:name w:val="Body Text"/>
    <w:basedOn w:val="Normal"/>
    <w:link w:val="BodyTextChar"/>
    <w:uiPriority w:val="1"/>
    <w:qFormat/>
    <w:rsid w:val="00523CC8"/>
    <w:pPr>
      <w:widowControl w:val="0"/>
      <w:autoSpaceDE w:val="0"/>
      <w:autoSpaceDN w:val="0"/>
      <w:spacing w:after="0" w:line="240" w:lineRule="auto"/>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523CC8"/>
    <w:rPr>
      <w:rFonts w:ascii="Times New Roman" w:eastAsia="Times New Roman" w:hAnsi="Times New Roman" w:cs="Times New Roman"/>
      <w:sz w:val="23"/>
      <w:szCs w:val="23"/>
      <w:lang w:bidi="en-US"/>
    </w:rPr>
  </w:style>
  <w:style w:type="character" w:styleId="CommentReference">
    <w:name w:val="annotation reference"/>
    <w:basedOn w:val="DefaultParagraphFont"/>
    <w:uiPriority w:val="99"/>
    <w:semiHidden/>
    <w:unhideWhenUsed/>
    <w:rsid w:val="00523CC8"/>
    <w:rPr>
      <w:sz w:val="16"/>
      <w:szCs w:val="16"/>
    </w:rPr>
  </w:style>
  <w:style w:type="paragraph" w:styleId="CommentText">
    <w:name w:val="annotation text"/>
    <w:basedOn w:val="Normal"/>
    <w:link w:val="CommentTextChar"/>
    <w:uiPriority w:val="99"/>
    <w:semiHidden/>
    <w:unhideWhenUsed/>
    <w:rsid w:val="00523CC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semiHidden/>
    <w:rsid w:val="00523CC8"/>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523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C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5C75"/>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A25C75"/>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3B0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C8D"/>
  </w:style>
  <w:style w:type="paragraph" w:styleId="Footer">
    <w:name w:val="footer"/>
    <w:basedOn w:val="Normal"/>
    <w:link w:val="FooterChar"/>
    <w:uiPriority w:val="99"/>
    <w:unhideWhenUsed/>
    <w:rsid w:val="003B0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C8D"/>
  </w:style>
  <w:style w:type="character" w:styleId="Hyperlink">
    <w:name w:val="Hyperlink"/>
    <w:basedOn w:val="DefaultParagraphFont"/>
    <w:uiPriority w:val="99"/>
    <w:unhideWhenUsed/>
    <w:rsid w:val="00EB3448"/>
    <w:rPr>
      <w:color w:val="0563C1" w:themeColor="hyperlink"/>
      <w:u w:val="single"/>
    </w:rPr>
  </w:style>
  <w:style w:type="character" w:styleId="UnresolvedMention">
    <w:name w:val="Unresolved Mention"/>
    <w:basedOn w:val="DefaultParagraphFont"/>
    <w:uiPriority w:val="99"/>
    <w:semiHidden/>
    <w:unhideWhenUsed/>
    <w:rsid w:val="00EB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5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caid.renewal@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Gary (DHCF)</dc:creator>
  <cp:keywords/>
  <dc:description/>
  <cp:lastModifiedBy>Hagans, Kayla (DHCF)</cp:lastModifiedBy>
  <cp:revision>2</cp:revision>
  <dcterms:created xsi:type="dcterms:W3CDTF">2025-03-18T13:27:00Z</dcterms:created>
  <dcterms:modified xsi:type="dcterms:W3CDTF">2025-03-18T13:27:00Z</dcterms:modified>
</cp:coreProperties>
</file>